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8.png" ContentType="image/png"/>
  <Override PartName="/word/media/rId101.png" ContentType="image/png"/>
  <Override PartName="/word/media/rId100.png" ContentType="image/png"/>
  <Override PartName="/word/media/rId97.png" ContentType="image/png"/>
  <Override PartName="/word/media/rId96.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13</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these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examined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w:t>
      </w:r>
      <w:r>
        <w:t xml:space="preserve">forming an alluvial fan. The fan created a slow, deep section in the river, spanning approximately 30 acres (12 hectares), averaging 68 m width, and resembling a small, narrow pond or reservoir.</w:t>
      </w:r>
    </w:p>
    <w:bookmarkEnd w:id="23"/>
    <w:bookmarkStart w:id="24" w:name="northern-pikeminnow-population-size"/>
    <w:p>
      <w:pPr>
        <w:pStyle w:val="Heading2"/>
      </w:pPr>
      <w:r>
        <w:t xml:space="preserve">Northern Pikeminnow Population Size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to meet assumptions of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our focus.</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a weighted average of a series of Lincoln-Peterson estimators (with a Champman modification).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p>
      <w:pPr>
        <w:pStyle w:val="BodyText"/>
      </w:pPr>
      <w:r>
        <w:t xml:space="preserve">Northern Pikeminnow in Deadwater Slough were not only abundant, but anglers reported that many were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Quality and stock size definitions vary by species. We calculated the PSD for Northern Pikeminnow in Deadwater Slough using 380 mm TL for quality-size and 250 mm TL for stock-size</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during model runs, we assume all fish prey have the same energy densities as juvenile Chinook Salmon i.e., juvenile Chinook Salmon were used as surrogates for all fish prey items.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total amount (grams) of fish consumed by an individual Northern Pikeminnow during the fall or spring time periods. To estimate the total biomass of fish potentially consumed by all Northern Pikeminnow in Deadwater Slough, we multiplied the grams of fish consumed by an individual Northern Pikeminnow by the estimated predator population size during each period (fall and spring).</w:t>
      </w:r>
    </w:p>
    <w:bookmarkEnd w:id="26"/>
    <w:bookmarkStart w:id="27" w:name="Xf48bb33d804bfd6581f05998a0ecb11776ed336"/>
    <w:p>
      <w:pPr>
        <w:pStyle w:val="Heading2"/>
      </w:pPr>
      <w:r>
        <w:t xml:space="preserve">Potential Impacts to Chinook Salmon Populations</w:t>
      </w:r>
    </w:p>
    <w:p>
      <w:pPr>
        <w:pStyle w:val="FirstParagraph"/>
      </w:pPr>
      <w:r>
        <w:t xml:space="preserve">Multiplying the grams of fish consumed by an individual Northern Pikeminnow by the Northern Pikeminnow population size provides an estimate of total fish consumption potential for the population. However, the bioenergetics model runs do not differentiate juvenile Chinook Salmon from other fish prey items. Therefore, to understand potential impacts to local Chinook Salmon populations, we need to parse out the portion of total fish consumed that is juvenile Chinook Salmon. Unfortunately, estimates of the proportion of the Northern Pikeminnow fish prey that are juvenile Chinook Salmon are sparse, as well as information on the prevalence of juvenile Chinook Salmon relative to other fish prey items. Therefore, we instead consider hypothetical scenarios where Chinook Salmon are 1%, 10%, 30%, and 50% of fish prey consumed, by weight, which provide estimates of the total biomass (grams) of juvenile Chinook Salmon consumed by Northern Pikeminnow during the DSR and NRR emigration periods.</w:t>
      </w:r>
    </w:p>
    <w:p>
      <w:pPr>
        <w:pStyle w:val="BodyText"/>
      </w:pPr>
      <w:r>
        <w:t xml:space="preserve">The estimate of total juvenile Chinook Salmon biomass consumed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w:t>
      </w:r>
    </w:p>
    <w:bookmarkEnd w:id="27"/>
    <w:bookmarkEnd w:id="28"/>
    <w:bookmarkStart w:id="33" w:name="results"/>
    <w:p>
      <w:pPr>
        <w:pStyle w:val="Heading1"/>
      </w:pPr>
      <w:r>
        <w:t xml:space="preserve">Results</w:t>
      </w:r>
    </w:p>
    <w:bookmarkStart w:id="29" w:name="northern-pikeminnow-population-size-1"/>
    <w:p>
      <w:pPr>
        <w:pStyle w:val="Heading2"/>
      </w:pPr>
      <w:r>
        <w:t xml:space="preserve">Northern Pikeminnow Population Size</w:t>
      </w:r>
    </w:p>
    <w:p>
      <w:pPr>
        <w:pStyle w:val="FirstParagraph"/>
      </w:pPr>
      <w:r>
        <w:t xml:space="preserve">Using hook-and-line angling, we caught 664, 797, and 202 Northern Pikeminnow during the fall 2019, fall 2020, and spring 2021 efforts, respectively, for a total of 1,663 fish. The CPUE, measured as number of Northern Pikeminnow caught per angler hour, was 1.84 for fall 2019, 1.23 for fall 2020, and 0.81 for spring 2021 (Figure</w:t>
      </w:r>
      <w:r>
        <w:t xml:space="preserve"> </w:t>
      </w:r>
      <w:r>
        <w:t xml:space="preserve">2</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24,381 to 42,475 (Table</w:t>
      </w:r>
      <w:r>
        <w:t xml:space="preserve"> </w:t>
      </w:r>
      <w:r>
        <w:t xml:space="preserve">3</w:t>
      </w:r>
      <w:r>
        <w:t xml:space="preserve">). In both cases, the multiple census estimators were larger than the single census estimators. Confidence intervals for the fall 2020 effort were more varied, likely due to fewer recaptures during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27,874 (95% CI: 14,244 - 59,388). By multiplying the ratio (0.53) between the spring CPUE (0.81) and mean of the fall CPUEs (1.53), we estimated there to be 14,799 (95% CI: 7,562 - 31,530) Northern Pikeminnow in Deadwater Slough during spring 2021.</w:t>
      </w:r>
    </w:p>
    <w:p>
      <w:pPr>
        <w:pStyle w:val="BodyText"/>
      </w:pPr>
      <w:r>
        <w:t xml:space="preserve">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End w:id="29"/>
    <w:bookmarkStart w:id="30" w:name="stomach-contents-1"/>
    <w:p>
      <w:pPr>
        <w:pStyle w:val="Heading2"/>
      </w:pPr>
      <w:r>
        <w:t xml:space="preserve">Stomach Contents</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individuals, indicating the method was effective. Of the 1,558 Northern Pikeminnow sampled using gastric lavage, we found contents in some form in 350 (22.5%) stomachs and confirmed fish or fish parts in 44 (12.6%) of those. Northern Pikeminnow captured during the spring 2021 effort had a higher proportion of diets with fish contents (%) than fish captured in the fall 2019 (%) and fall 2020 (%)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30"/>
    <w:bookmarkStart w:id="31" w:name="fish-consumption-potential-1"/>
    <w:p>
      <w:pPr>
        <w:pStyle w:val="Heading2"/>
      </w:pPr>
      <w:r>
        <w:t xml:space="preserve">Fish Consumption Potential</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 mean Northern Pikeminnow population size of 27,874 from fall estimates and 14,798.67 for spring 2021 and using the median value from diet scenarios (i.e., 50% of their diet consists of fish), we’d estimate that the Northern Pikeminnow population can consume 1,260,741 g (range: 636,642.2 - 1,414,048 g) fish during the DSR emigration and an additional 655,433.1 g (range: 331,342.2 - 736,085.8 g) during the NRR emigration in Deadwater Slough. In total, the Northern Pikeminnow population can consume 1,916,174 g of fish during the DSR and NRR emigrations to maintain their population size if we assume 50% of their diet consists of fish.</w:t>
      </w:r>
    </w:p>
    <w:bookmarkEnd w:id="31"/>
    <w:bookmarkStart w:id="32" w:name="X04b4ebf29d646c95e920fe225a058217179fb09"/>
    <w:p>
      <w:pPr>
        <w:pStyle w:val="Heading2"/>
      </w:pPr>
      <w:r>
        <w:t xml:space="preserve">Potential Impacts to Chinook Salmon Populations</w:t>
      </w:r>
    </w:p>
    <w:p>
      <w:pPr>
        <w:numPr>
          <w:ilvl w:val="0"/>
          <w:numId w:val="1002"/>
        </w:numPr>
        <w:pStyle w:val="Compact"/>
      </w:pPr>
      <w:r>
        <w:t xml:space="preserve">Start with total g of fish consumed by Northern Pikemnnow population, summing DSR and NRR time periods.</w:t>
      </w:r>
    </w:p>
    <w:p>
      <w:pPr>
        <w:numPr>
          <w:ilvl w:val="0"/>
          <w:numId w:val="1002"/>
        </w:numPr>
        <w:pStyle w:val="Compact"/>
      </w:pPr>
      <w:r>
        <w:t xml:space="preserve">Parse out portion of fish total g consumed that is juvenile Chinook Salmon (1%, 10%, 30%, 50%).</w:t>
      </w:r>
    </w:p>
    <w:p>
      <w:pPr>
        <w:numPr>
          <w:ilvl w:val="0"/>
          <w:numId w:val="1002"/>
        </w:numPr>
        <w:pStyle w:val="Compact"/>
      </w:pPr>
      <w:r>
        <w:t xml:space="preserve">Divide by average weight of juvenile Chinook Salmon (10.6 g), the average of DSR (10.3 g) and NRR (10.9 g) emigrants.</w:t>
      </w:r>
    </w:p>
    <w:p>
      <w:pPr>
        <w:numPr>
          <w:ilvl w:val="0"/>
          <w:numId w:val="1002"/>
        </w:numPr>
        <w:pStyle w:val="Compact"/>
      </w:pPr>
      <w:r>
        <w:t xml:space="preserve">Estimate of total juvenile Chinook Salmon consumed.</w:t>
      </w:r>
    </w:p>
    <w:p>
      <w:pPr>
        <w:numPr>
          <w:ilvl w:val="0"/>
          <w:numId w:val="1002"/>
        </w:numPr>
        <w:pStyle w:val="Compact"/>
      </w:pPr>
      <w:r>
        <w:t xml:space="preserve">Multiply by SAR to estimate</w:t>
      </w:r>
      <w:r>
        <w:t xml:space="preserve"> </w:t>
      </w:r>
      <w:r>
        <w:t xml:space="preserve">“</w:t>
      </w:r>
      <w:r>
        <w:t xml:space="preserve">adult equivalents.</w:t>
      </w:r>
      <w:r>
        <w:t xml:space="preserve">”</w:t>
      </w:r>
    </w:p>
    <w:bookmarkEnd w:id="32"/>
    <w:bookmarkEnd w:id="33"/>
    <w:bookmarkStart w:id="43" w:name="discussion"/>
    <w:p>
      <w:pPr>
        <w:pStyle w:val="Heading1"/>
      </w:pPr>
      <w:r>
        <w:t xml:space="preserve">Discussion</w:t>
      </w:r>
    </w:p>
    <w:p>
      <w:pPr>
        <w:pStyle w:val="FirstParagraph"/>
      </w:pPr>
      <w:r>
        <w:t xml:space="preserve">The mean population size of Northern Pikeminnow in the Deadwater Slough during the fall season was estimated to be 27,874 and during the spring 2021 to be 14,799. Those estimates translate to linear densities of 14,898 and 7,909</w:t>
      </w:r>
      <w:r>
        <w:t xml:space="preserve"> </w:t>
      </w:r>
      <w:r>
        <w:t xml:space="preserve"> </w:t>
      </w:r>
      <w:r>
        <w:t xml:space="preserve">which is 21 and 11 times greater, respectively,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Although estimated densities for Deadwater Slough are high given the relative size (volume) of the Salmon River at the slough relative to the Columbia River, high CPUE combined with low recapture rates (one in every 119 captured fish were recaptures) suggest this area may support exceptionally high predator densities. Further,</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Conversely, at Deadwater Slough the maximum depth was approximately 10-15 m with a relatively homogenous bottom contour, making angling an effective method throughout the entire reach. Our estimates of Northern Pikeminnow areal density are also higher than those reported elsewhere in the Columbia River basin. We estimate the density of Northern Pikeminnow in Deadwater Slough, as fish per hectare, to be 2,334 for fall and 1,239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 Given the dearth of current data available in the Columbia River basin, it is unclear how Northern Pikeminnow abundance estimates in this study compare to elsewhere in the Columbia River Basin.</w:t>
      </w:r>
      <w:r>
        <w:t xml:space="preserve"> </w:t>
      </w:r>
      <w:r>
        <w:t xml:space="preserve">Widener et al. (2021)</w:t>
      </w:r>
      <w:r>
        <w:t xml:space="preserve"> </w:t>
      </w:r>
      <w:r>
        <w:t xml:space="preserve">has identified a need for more current information on piscine predator populations in the Columbia River.</w:t>
      </w:r>
    </w:p>
    <w:bookmarkStart w:id="34" w:name="mark-recapture-models"/>
    <w:p>
      <w:pPr>
        <w:pStyle w:val="Heading2"/>
      </w:pPr>
      <w:r>
        <w:t xml:space="preserve">Mark-Recapture Models</w:t>
      </w:r>
    </w:p>
    <w:p>
      <w:pPr>
        <w:pStyle w:val="FirstParagraph"/>
      </w:pPr>
      <w:r>
        <w:t xml:space="preserve">All mark-recapture abundance estimators suggest a large number of Northern Pikeminnow occupying Deadwater Slough. Several assumptions in our estimators may have influenced the magnitude of our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limited length of the sampling period (two weeks), that assumption is likely met. The assumption of a closed population can also affect results if mortality occurs for some marked fish released back to the population. During our field processing, we did not observe mortalities or injury post release; however, the potential for mortality amongst marked and released fish cannot be discounted. Next, our estimates assumed that the second (and subsequent) sample(s) are random samples of the population. Angling methods may have a size selection bias, thereby limiting our abundance estimates to a size threshold susceptible to angling, and possibly biasing them low. We also consider the validity of our assumption of equal catchability of individual fish between sampling events to have introduced potential bias in our results. Unequal catchability for individual fish is difficult to assess, especially if being caught once influences the likelihood of recapture. During our study, we recaptured two individual fish during multiple surveys indicating that marked fish were still susceptible to angling.</w:t>
      </w:r>
    </w:p>
    <w:p>
      <w:pPr>
        <w:pStyle w:val="BodyText"/>
      </w:pPr>
      <w:r>
        <w:t xml:space="preserve">We further recognize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If marked fish were not recently released or mixed back into those areas that would result in marked fish being less susceptible to capture.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 We calculated this for the Schnabel estimator by assuming that only 70% of the fish marked each sample were returned to the populuation and available for recapture.</w:t>
      </w:r>
    </w:p>
    <w:p>
      <w:pPr>
        <w:pStyle w:val="BodyText"/>
      </w:pPr>
      <w:r>
        <w:t xml:space="preserve">The spring abundance estimate was smaller than fall abundance estimates. Our approach assumed equal capture probabilities between the fall and spring sample efforts. Yet, we suspect that the capture probability in the spring could be lower as higher spring flows reduce Northern Pikeminnow densities biasing our spring abundance estimate low. Therefore, we believe our spring abundance estimate to be conservative.</w:t>
      </w:r>
      <w:r>
        <w:t xml:space="preserve"> </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In addition to juvenile Chinook Salmon,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(Hodgson and Cochran 1988)</w:t>
      </w:r>
      <w:r>
        <w:t xml:space="preserve">, and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gastric results suggest.</w:t>
      </w:r>
    </w:p>
    <w:bookmarkEnd w:id="35"/>
    <w:bookmarkStart w:id="36" w:name="bioenergetics"/>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fall and spring, respectively, to maintain its body weight. This equates to 89.52 g of fish consumed during the DSR and NRR peak emigrations, assuming the median value among diet scenarios (i.e., if 50% of their diet consists of fish). Consumption ranged from 45.23 for a diet comprised of 10% fish to 100.47 for a diet comprised of 90% fish.</w:t>
      </w:r>
    </w:p>
    <w:p>
      <w:pPr>
        <w:pStyle w:val="BodyText"/>
      </w:pPr>
      <w:r>
        <w:t xml:space="preserve">Our approach assumed that all available prey consumed by Northern Pikeminnow have energy densities equal to juvenile Chinook Salmon. Other salmonid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Other studies have used a similar approach where the energy densities of different salmonids were generalized using an estimate from a single species</w:t>
      </w:r>
      <w:r>
        <w:t xml:space="preserve"> </w:t>
      </w:r>
      <w:r>
        <w:t xml:space="preserve">(Petersen and Ward 1999)</w:t>
      </w:r>
      <w:r>
        <w:t xml:space="preserve">.</w:t>
      </w:r>
      <w:r>
        <w:t xml:space="preserve"> </w:t>
      </w:r>
      <w:r>
        <w:t xml:space="preserve">However, our study is focused on potential impacts to natural-origin DSR and NRR Chinook Salmon, in which case, let’s consider a thought exercise where DSR and NRR Chinook Salmon represent only 10% and 25% of total fish prey consumed by Northern Pikemnnow during these periods. Under these scenarios, the average Northern Pikeminnow would consume 8.95 g (range 4.52 – 10.05 g) if 10% of prey were natural-origin Chinook Salmon and 22.38 g (range 11.31 – 25.12) if 25%.</w:t>
      </w:r>
    </w:p>
    <w:p>
      <w:pPr>
        <w:pStyle w:val="BodyText"/>
      </w:pPr>
      <w:r>
        <w:t xml:space="preserve">Our estimated consumption of Chinook Salmon juveniles by Northern Pikeminnow was calculated using a static predator population. If we assume an average juvenile Upper Salmon MPG Chinook Salmon of 10.6 g, this equates to 0.84 juvenile Chinook Salmon (range 0.43 – 0.94) under the 10% scenario and 2.11 juvenile Chinook Salmon (range 1.07 – 2.37) under the 25% scenario. 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6"/>
    <w:bookmarkStart w:id="37" w:name="impacts-to-adult-returns"/>
    <w:p>
      <w:pPr>
        <w:pStyle w:val="Heading2"/>
      </w:pPr>
      <w:r>
        <w:t xml:space="preserve">Impacts to Adult Returns</w:t>
      </w:r>
    </w:p>
    <w:p>
      <w:pPr>
        <w:pStyle w:val="FirstParagraph"/>
      </w:pPr>
      <w:r>
        <w:t xml:space="preserve">Our primary objective was to assess the impact of predation on juvenile Chinook Salmon in the Upper Salmon MPG. However, there is also interest in estimating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r>
        <w:t xml:space="preserve"> </w:t>
      </w:r>
    </w:p>
    <w:bookmarkEnd w:id="37"/>
    <w:bookmarkStart w:id="40"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8">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9">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40"/>
    <w:bookmarkStart w:id="41" w:name="management-implications"/>
    <w:p>
      <w:pPr>
        <w:pStyle w:val="Heading2"/>
      </w:pPr>
      <w:r>
        <w:t xml:space="preserve">Management Implications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natural-origin returns to upriver populations by 26.4 to 145.6 adults, annually. This is between 4.7% and 26.1% of the total mean adult escapement</w:t>
      </w:r>
      <w:r>
        <w:t xml:space="preserve"> </w:t>
      </w:r>
      <w:r>
        <w:t xml:space="preserve">reported for the Upper Salmon River MPG in 2017 - 2019</w:t>
      </w:r>
      <w:r>
        <w:t xml:space="preserve"> </w:t>
      </w:r>
      <w:r>
        <w:t xml:space="preserve">(Kinzer et al. 2020)</w:t>
      </w:r>
      <w:r>
        <w:t xml:space="preserve">. These estimates only take into account predation on juvenile Chinook Salmon by Northern Pikeminnow, but presumably, juvenile steelhead and Sockeye Salmon are also prey items in Deadwater Slough, including hatchery releases. Therefore, adult returns of steelhead and Sockeye Salmon are affected as well, including for hatchery populations which provide recreational fishing opportunities. Consequently, reducing predation mortality at Deadwater Slough could potentially benefit multiple upriver natural and hatchery populations, including multiple ESA-listed species. Because the Deadwater Slough is part of the migratory pathway for multiple species and populations of emigrating salmonids, the impact of that benefit could be higher than tributary rehabilitation actions which typically benefit a single population. Moreover, the deepened, slack water conditions that favor Northern Pikeminnow at Deadwater Slough are a result of the failure of a manmade mining reservoir dam. Taken together, the Deadwater Slough is a favorable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w:t>
      </w:r>
      <w:r>
        <w:rPr>
          <w:iCs/>
          <w:i/>
        </w:rPr>
        <w:t xml:space="preserve">citation</w:t>
      </w:r>
      <w:r>
        <w:t xml:space="preserve">). A local bounty program in the Salmon River has the potential to boost the local economy (to an unknown degree) which has been negatively impacted by low returns of Chinook Salmon, steelhead, and Sockeye Salmon in recent decades. Many local businesses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years of continued funding and local buy-in to remain effective. If funding or effort was alleviated, Northern Pikeminnow would likely recover to a higher population size without additional alterations to the habitat.</w:t>
      </w:r>
      <w:r>
        <w:t xml:space="preserve"> </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of recent returns to the Upper Salmon River MPG. Therefore, predation in Deadwater Slough likely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92" w:name="literature-cited"/>
    <w:p>
      <w:pPr>
        <w:pStyle w:val="Heading1"/>
      </w:pPr>
      <w:r>
        <w:t xml:space="preserve">Literature Cited</w:t>
      </w:r>
    </w:p>
    <w:bookmarkStart w:id="91"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6"/>
    <w:bookmarkStart w:id="47"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0"/>
    <w:bookmarkStart w:id="51"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1"/>
    <w:bookmarkStart w:id="52"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2"/>
    <w:bookmarkStart w:id="53"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3"/>
    <w:bookmarkStart w:id="54"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4"/>
    <w:bookmarkStart w:id="55"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5"/>
    <w:bookmarkStart w:id="56"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6"/>
    <w:bookmarkStart w:id="57"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7"/>
    <w:bookmarkStart w:id="58"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8"/>
    <w:bookmarkStart w:id="59"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9"/>
    <w:bookmarkStart w:id="60" w:name="ref-Hartleb1995"/>
    <w:p>
      <w:pPr>
        <w:pStyle w:val="Bibliography"/>
      </w:pPr>
      <w:r>
        <w:t xml:space="preserve">Hartleb, C. F., and J. R. Moring. 1995. An improved gastric lavage device for removing stomach contents from live fish. Fisheries Research 24(3):261–265.</w:t>
      </w:r>
    </w:p>
    <w:bookmarkEnd w:id="60"/>
    <w:bookmarkStart w:id="61"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1"/>
    <w:bookmarkStart w:id="62"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2"/>
    <w:bookmarkStart w:id="63"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3"/>
    <w:bookmarkStart w:id="64" w:name="ref-Kamler2001"/>
    <w:p>
      <w:pPr>
        <w:pStyle w:val="Bibliography"/>
      </w:pPr>
      <w:r>
        <w:t xml:space="preserve">Kamler, J. F., and K. L. Pope. 2001. Nonlethal methods of examining fish stomach contents. Reviews in Fisheries Science 9(1):1–11.</w:t>
      </w:r>
    </w:p>
    <w:bookmarkEnd w:id="64"/>
    <w:bookmarkStart w:id="65"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65"/>
    <w:bookmarkStart w:id="6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6"/>
    <w:bookmarkStart w:id="67"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67"/>
    <w:bookmarkStart w:id="6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8"/>
    <w:bookmarkStart w:id="6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9"/>
    <w:bookmarkStart w:id="7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0"/>
    <w:bookmarkStart w:id="7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1"/>
    <w:bookmarkStart w:id="72"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2"/>
    <w:bookmarkStart w:id="73"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73"/>
    <w:bookmarkStart w:id="7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74"/>
    <w:bookmarkStart w:id="7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75"/>
    <w:bookmarkStart w:id="76"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76"/>
    <w:bookmarkStart w:id="77"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77"/>
    <w:bookmarkStart w:id="78"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8"/>
    <w:bookmarkStart w:id="79"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9"/>
    <w:bookmarkStart w:id="80"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0"/>
    <w:bookmarkStart w:id="81"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1"/>
    <w:bookmarkStart w:id="82"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82"/>
    <w:bookmarkStart w:id="83"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83"/>
    <w:bookmarkStart w:id="84"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84"/>
    <w:bookmarkStart w:id="85"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85"/>
    <w:bookmarkStart w:id="86"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86"/>
    <w:bookmarkStart w:id="87"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7"/>
    <w:bookmarkStart w:id="88"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8"/>
    <w:bookmarkStart w:id="89"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89"/>
    <w:bookmarkStart w:id="90"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0"/>
    <w:bookmarkEnd w:id="91"/>
    <w:p>
      <w:r>
        <w:br w:type="page"/>
      </w:r>
    </w:p>
    <w:bookmarkEnd w:id="92"/>
    <w:bookmarkStart w:id="94" w:name="tables"/>
    <w:p>
      <w:pPr>
        <w:pStyle w:val="Heading1"/>
      </w:pPr>
      <w:r>
        <w:t xml:space="preserve">Tables</w:t>
      </w:r>
    </w:p>
    <w:bookmarkStart w:id="93" w:name="tables"/>
    <w:bookmarkEnd w:id="93"/>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Petersen</w:t>
            </w:r>
          </w:p>
        </w:tc>
        <w:tc>
          <w:tcPr/>
          <w:p>
            <w:pPr>
              <w:pStyle w:val="Compact"/>
              <w:jc w:val="left"/>
            </w:pPr>
            <w:r>
              <w:t xml:space="preserve">15,105</w:t>
            </w:r>
          </w:p>
        </w:tc>
        <w:tc>
          <w:tcPr/>
          <w:p>
            <w:pPr>
              <w:pStyle w:val="Compact"/>
              <w:jc w:val="left"/>
            </w:pPr>
            <w:r>
              <w:t xml:space="preserve">5,658</w:t>
            </w:r>
          </w:p>
        </w:tc>
        <w:tc>
          <w:tcPr/>
          <w:p>
            <w:pPr>
              <w:pStyle w:val="Compact"/>
              <w:jc w:val="left"/>
            </w:pPr>
            <w:r>
              <w:t xml:space="preserve">7,331 - 37,569</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left"/>
            </w:pPr>
            <w:r>
              <w:t xml:space="preserve">20,615</w:t>
            </w:r>
          </w:p>
        </w:tc>
        <w:tc>
          <w:tcPr/>
          <w:p>
            <w:pPr>
              <w:pStyle w:val="Compact"/>
              <w:jc w:val="left"/>
            </w:pPr>
            <w:r>
              <w:t xml:space="preserve">NA</w:t>
            </w:r>
          </w:p>
        </w:tc>
        <w:tc>
          <w:tcPr/>
          <w:p>
            <w:pPr>
              <w:pStyle w:val="Compact"/>
              <w:jc w:val="left"/>
            </w:pPr>
            <w:r>
              <w:t xml:space="preserve">14,393 - 36,313</w:t>
            </w:r>
          </w:p>
        </w:tc>
      </w:tr>
      <w:tr>
        <w:tc>
          <w:tcPr/>
          <w:p>
            <w:pPr>
              <w:pStyle w:val="Compact"/>
              <w:jc w:val="left"/>
            </w:pPr>
            <w:r>
              <w:t xml:space="preserve">Fall 2020</w:t>
            </w:r>
          </w:p>
        </w:tc>
        <w:tc>
          <w:tcPr/>
          <w:p>
            <w:pPr>
              <w:pStyle w:val="Compact"/>
              <w:jc w:val="left"/>
            </w:pPr>
            <w:r>
              <w:t xml:space="preserve">Petersen</w:t>
            </w:r>
          </w:p>
        </w:tc>
        <w:tc>
          <w:tcPr/>
          <w:p>
            <w:pPr>
              <w:pStyle w:val="Compact"/>
              <w:jc w:val="left"/>
            </w:pPr>
            <w:r>
              <w:t xml:space="preserve">29,100</w:t>
            </w:r>
          </w:p>
        </w:tc>
        <w:tc>
          <w:tcPr/>
          <w:p>
            <w:pPr>
              <w:pStyle w:val="Compact"/>
              <w:jc w:val="left"/>
            </w:pPr>
            <w:r>
              <w:t xml:space="preserve">12,902</w:t>
            </w:r>
          </w:p>
        </w:tc>
        <w:tc>
          <w:tcPr/>
          <w:p>
            <w:pPr>
              <w:pStyle w:val="Compact"/>
              <w:jc w:val="left"/>
            </w:pPr>
            <w:r>
              <w:t xml:space="preserve">12,470 - 89,622</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Schumacher-Eschmeyer</w:t>
            </w:r>
          </w:p>
        </w:tc>
        <w:tc>
          <w:tcPr/>
          <w:p>
            <w:pPr>
              <w:pStyle w:val="Compact"/>
              <w:jc w:val="left"/>
            </w:pPr>
            <w:r>
              <w:t xml:space="preserve">42,475</w:t>
            </w:r>
          </w:p>
        </w:tc>
        <w:tc>
          <w:tcPr/>
          <w:p>
            <w:pPr>
              <w:pStyle w:val="Compact"/>
              <w:jc w:val="left"/>
            </w:pPr>
            <w:r>
              <w:t xml:space="preserve">NA</w:t>
            </w:r>
          </w:p>
        </w:tc>
        <w:tc>
          <w:tcPr/>
          <w:p>
            <w:pPr>
              <w:pStyle w:val="Compact"/>
              <w:jc w:val="left"/>
            </w:pPr>
            <w:r>
              <w:t xml:space="preserve">22,501 - 378,128</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bookmarkEnd w:id="94"/>
    <w:bookmarkStart w:id="103" w:name="figures"/>
    <w:p>
      <w:pPr>
        <w:pStyle w:val="Heading1"/>
      </w:pPr>
      <w:r>
        <w:t xml:space="preserve">Figures</w:t>
      </w:r>
    </w:p>
    <w:bookmarkStart w:id="95" w:name="figures"/>
    <w:bookmarkEnd w:id="95"/>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6"/>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9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9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02" w:name="colophon"/>
    <w:p>
      <w:pPr>
        <w:pStyle w:val="Heading3"/>
      </w:pPr>
      <w:r>
        <w:t xml:space="preserve">Colophon</w:t>
      </w:r>
    </w:p>
    <w:p>
      <w:pPr>
        <w:pStyle w:val="FirstParagraph"/>
      </w:pPr>
      <w:r>
        <w:t xml:space="preserve">This report was generated on 2022-01-13 14:47:21 using the following computational environment and dependencies:</w:t>
      </w:r>
    </w:p>
    <w:p>
      <w:pPr>
        <w:pStyle w:val="SourceCode"/>
      </w:pPr>
      <w:r>
        <w:rPr>
          <w:rStyle w:val="VerbatimChar"/>
        </w:rPr>
        <w:t xml:space="preserve">#&gt; - Session info  --------------------------------------------------------------</w:t>
      </w:r>
      <w:r>
        <w:br/>
      </w:r>
      <w:r>
        <w:rPr>
          <w:rStyle w:val="VerbatimChar"/>
        </w:rPr>
        <w:t xml:space="preserve">#&gt;  hash: leg: medium-dark skin tone, person shrugging: medium-light skin tone, person getting massage: medium-dark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2022-01-13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[631a86c] 2022-01-13: cleaned up the mess</w:t>
      </w:r>
    </w:p>
    <w:bookmarkEnd w:id="102"/>
    <w:bookmarkEnd w:id="10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2022-01-13T21:47:24Z</dcterms:created>
  <dcterms:modified xsi:type="dcterms:W3CDTF">2022-01-13T21:47:24Z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13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